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DF27B" w14:textId="77777777" w:rsidR="005B456E" w:rsidRPr="00357E6A" w:rsidRDefault="00186276">
      <w:pPr>
        <w:pStyle w:val="Title"/>
        <w:spacing w:line="276" w:lineRule="auto"/>
        <w:rPr>
          <w:u w:val="single"/>
        </w:rPr>
      </w:pPr>
      <w:r w:rsidRPr="00357E6A">
        <w:rPr>
          <w:u w:val="single"/>
        </w:rPr>
        <w:t>Anti-Money</w:t>
      </w:r>
      <w:r w:rsidRPr="00357E6A">
        <w:rPr>
          <w:spacing w:val="-6"/>
          <w:u w:val="single"/>
        </w:rPr>
        <w:t xml:space="preserve"> </w:t>
      </w:r>
      <w:r w:rsidRPr="00357E6A">
        <w:rPr>
          <w:u w:val="single"/>
        </w:rPr>
        <w:t>Laundering/Combatting</w:t>
      </w:r>
      <w:r w:rsidRPr="00357E6A">
        <w:rPr>
          <w:spacing w:val="-6"/>
          <w:u w:val="single"/>
        </w:rPr>
        <w:t xml:space="preserve"> </w:t>
      </w:r>
      <w:r w:rsidRPr="00357E6A">
        <w:rPr>
          <w:u w:val="single"/>
        </w:rPr>
        <w:t>the</w:t>
      </w:r>
      <w:r w:rsidRPr="00357E6A">
        <w:rPr>
          <w:spacing w:val="-6"/>
          <w:u w:val="single"/>
        </w:rPr>
        <w:t xml:space="preserve"> </w:t>
      </w:r>
      <w:r w:rsidRPr="00357E6A">
        <w:rPr>
          <w:u w:val="single"/>
        </w:rPr>
        <w:t>Financing</w:t>
      </w:r>
      <w:r w:rsidRPr="00357E6A">
        <w:rPr>
          <w:spacing w:val="-6"/>
          <w:u w:val="single"/>
        </w:rPr>
        <w:t xml:space="preserve"> </w:t>
      </w:r>
      <w:r w:rsidRPr="00357E6A">
        <w:rPr>
          <w:u w:val="single"/>
        </w:rPr>
        <w:t>of</w:t>
      </w:r>
      <w:r w:rsidRPr="00357E6A">
        <w:rPr>
          <w:spacing w:val="-5"/>
          <w:u w:val="single"/>
        </w:rPr>
        <w:t xml:space="preserve"> </w:t>
      </w:r>
      <w:r w:rsidRPr="00357E6A">
        <w:rPr>
          <w:u w:val="single"/>
        </w:rPr>
        <w:t>Terrorism</w:t>
      </w:r>
      <w:r w:rsidRPr="00357E6A">
        <w:rPr>
          <w:spacing w:val="-5"/>
          <w:u w:val="single"/>
        </w:rPr>
        <w:t xml:space="preserve"> </w:t>
      </w:r>
      <w:r w:rsidRPr="00357E6A">
        <w:rPr>
          <w:u w:val="single"/>
        </w:rPr>
        <w:t>(AML/CFT) Guidance for Letting and Property Management Agents</w:t>
      </w:r>
    </w:p>
    <w:p w14:paraId="51ADF27C" w14:textId="77777777" w:rsidR="005B456E" w:rsidRDefault="00186276" w:rsidP="00186276">
      <w:pPr>
        <w:pStyle w:val="BodyText"/>
        <w:spacing w:before="198"/>
        <w:ind w:left="23"/>
        <w:jc w:val="both"/>
      </w:pPr>
      <w:r>
        <w:t>Following</w:t>
      </w:r>
      <w:r>
        <w:rPr>
          <w:spacing w:val="-9"/>
        </w:rPr>
        <w:t xml:space="preserve"> </w:t>
      </w:r>
      <w:r>
        <w:t>the</w:t>
      </w:r>
      <w:r>
        <w:rPr>
          <w:spacing w:val="-6"/>
        </w:rPr>
        <w:t xml:space="preserve"> </w:t>
      </w:r>
      <w:r>
        <w:t>2021</w:t>
      </w:r>
      <w:r>
        <w:rPr>
          <w:spacing w:val="-6"/>
        </w:rPr>
        <w:t xml:space="preserve"> </w:t>
      </w:r>
      <w:r>
        <w:t>amendment</w:t>
      </w:r>
      <w:r>
        <w:rPr>
          <w:spacing w:val="-7"/>
        </w:rPr>
        <w:t xml:space="preserve"> </w:t>
      </w:r>
      <w:r>
        <w:t>to</w:t>
      </w:r>
      <w:r>
        <w:rPr>
          <w:spacing w:val="-3"/>
        </w:rPr>
        <w:t xml:space="preserve"> </w:t>
      </w:r>
      <w:r>
        <w:t>the</w:t>
      </w:r>
      <w:r>
        <w:rPr>
          <w:spacing w:val="-6"/>
        </w:rPr>
        <w:t xml:space="preserve"> </w:t>
      </w:r>
      <w:r>
        <w:t>Criminal</w:t>
      </w:r>
      <w:r>
        <w:rPr>
          <w:spacing w:val="-7"/>
        </w:rPr>
        <w:t xml:space="preserve"> </w:t>
      </w:r>
      <w:r>
        <w:t>Justice</w:t>
      </w:r>
      <w:r>
        <w:rPr>
          <w:spacing w:val="-5"/>
        </w:rPr>
        <w:t xml:space="preserve"> </w:t>
      </w:r>
      <w:r>
        <w:t>(Money</w:t>
      </w:r>
      <w:r>
        <w:rPr>
          <w:spacing w:val="-6"/>
        </w:rPr>
        <w:t xml:space="preserve"> </w:t>
      </w:r>
      <w:r>
        <w:t>Laundering</w:t>
      </w:r>
      <w:r>
        <w:rPr>
          <w:spacing w:val="-5"/>
        </w:rPr>
        <w:t xml:space="preserve"> </w:t>
      </w:r>
      <w:r>
        <w:t>and</w:t>
      </w:r>
      <w:r>
        <w:rPr>
          <w:spacing w:val="-6"/>
        </w:rPr>
        <w:t xml:space="preserve"> </w:t>
      </w:r>
      <w:r>
        <w:t>Terrorist</w:t>
      </w:r>
      <w:r>
        <w:rPr>
          <w:spacing w:val="-4"/>
        </w:rPr>
        <w:t xml:space="preserve"> </w:t>
      </w:r>
      <w:r>
        <w:rPr>
          <w:spacing w:val="-2"/>
        </w:rPr>
        <w:t>Financing)</w:t>
      </w:r>
    </w:p>
    <w:p w14:paraId="51ADF27D" w14:textId="77777777" w:rsidR="005B456E" w:rsidRDefault="00186276" w:rsidP="00186276">
      <w:pPr>
        <w:pStyle w:val="BodyText"/>
        <w:spacing w:before="41" w:line="273" w:lineRule="auto"/>
        <w:ind w:left="23" w:right="90"/>
        <w:jc w:val="both"/>
      </w:pPr>
      <w:r>
        <w:t>Act</w:t>
      </w:r>
      <w:r>
        <w:rPr>
          <w:spacing w:val="-3"/>
        </w:rPr>
        <w:t xml:space="preserve"> </w:t>
      </w:r>
      <w:r>
        <w:t>2010</w:t>
      </w:r>
      <w:r>
        <w:rPr>
          <w:spacing w:val="-2"/>
        </w:rPr>
        <w:t xml:space="preserve"> </w:t>
      </w:r>
      <w:r>
        <w:t>(the</w:t>
      </w:r>
      <w:r>
        <w:rPr>
          <w:spacing w:val="-3"/>
        </w:rPr>
        <w:t xml:space="preserve"> </w:t>
      </w:r>
      <w:r>
        <w:t>AML</w:t>
      </w:r>
      <w:r>
        <w:rPr>
          <w:spacing w:val="-2"/>
        </w:rPr>
        <w:t xml:space="preserve"> </w:t>
      </w:r>
      <w:r>
        <w:t>Act),</w:t>
      </w:r>
      <w:r>
        <w:rPr>
          <w:spacing w:val="-6"/>
        </w:rPr>
        <w:t xml:space="preserve"> </w:t>
      </w:r>
      <w:r>
        <w:t>Letting</w:t>
      </w:r>
      <w:r>
        <w:rPr>
          <w:spacing w:val="-4"/>
        </w:rPr>
        <w:t xml:space="preserve"> </w:t>
      </w:r>
      <w:r>
        <w:t>and</w:t>
      </w:r>
      <w:r>
        <w:rPr>
          <w:spacing w:val="-3"/>
        </w:rPr>
        <w:t xml:space="preserve"> </w:t>
      </w:r>
      <w:r>
        <w:t>Property</w:t>
      </w:r>
      <w:r>
        <w:rPr>
          <w:spacing w:val="-5"/>
        </w:rPr>
        <w:t xml:space="preserve"> </w:t>
      </w:r>
      <w:r>
        <w:t>Management</w:t>
      </w:r>
      <w:r>
        <w:rPr>
          <w:spacing w:val="-6"/>
        </w:rPr>
        <w:t xml:space="preserve"> </w:t>
      </w:r>
      <w:r>
        <w:t>Agents</w:t>
      </w:r>
      <w:r>
        <w:rPr>
          <w:spacing w:val="-3"/>
        </w:rPr>
        <w:t xml:space="preserve"> </w:t>
      </w:r>
      <w:r>
        <w:t>are</w:t>
      </w:r>
      <w:r>
        <w:rPr>
          <w:spacing w:val="-1"/>
        </w:rPr>
        <w:t xml:space="preserve"> </w:t>
      </w:r>
      <w:r>
        <w:t>now</w:t>
      </w:r>
      <w:r>
        <w:rPr>
          <w:spacing w:val="-2"/>
        </w:rPr>
        <w:t xml:space="preserve"> </w:t>
      </w:r>
      <w:proofErr w:type="spellStart"/>
      <w:r>
        <w:t>recognised</w:t>
      </w:r>
      <w:proofErr w:type="spellEnd"/>
      <w:r>
        <w:rPr>
          <w:spacing w:val="-3"/>
        </w:rPr>
        <w:t xml:space="preserve"> </w:t>
      </w:r>
      <w:r>
        <w:t>as “designated persons” and, as such, must comply with the provisions of the AML Act.</w:t>
      </w:r>
    </w:p>
    <w:p w14:paraId="51ADF27E" w14:textId="77777777" w:rsidR="005B456E" w:rsidRDefault="00186276" w:rsidP="00186276">
      <w:pPr>
        <w:pStyle w:val="BodyText"/>
        <w:spacing w:before="204"/>
        <w:ind w:left="23"/>
        <w:jc w:val="both"/>
      </w:pPr>
      <w:r>
        <w:t>The</w:t>
      </w:r>
      <w:r>
        <w:rPr>
          <w:spacing w:val="-7"/>
        </w:rPr>
        <w:t xml:space="preserve"> </w:t>
      </w:r>
      <w:r>
        <w:t>following</w:t>
      </w:r>
      <w:r>
        <w:rPr>
          <w:spacing w:val="-6"/>
        </w:rPr>
        <w:t xml:space="preserve"> </w:t>
      </w:r>
      <w:r>
        <w:t>provides</w:t>
      </w:r>
      <w:r>
        <w:rPr>
          <w:spacing w:val="-4"/>
        </w:rPr>
        <w:t xml:space="preserve"> </w:t>
      </w:r>
      <w:r>
        <w:t>a</w:t>
      </w:r>
      <w:r>
        <w:rPr>
          <w:spacing w:val="-7"/>
        </w:rPr>
        <w:t xml:space="preserve"> </w:t>
      </w:r>
      <w:r>
        <w:t>summary</w:t>
      </w:r>
      <w:r>
        <w:rPr>
          <w:spacing w:val="-6"/>
        </w:rPr>
        <w:t xml:space="preserve"> </w:t>
      </w:r>
      <w:r>
        <w:t>of</w:t>
      </w:r>
      <w:r>
        <w:rPr>
          <w:spacing w:val="-4"/>
        </w:rPr>
        <w:t xml:space="preserve"> </w:t>
      </w:r>
      <w:r>
        <w:t>requirements</w:t>
      </w:r>
      <w:r>
        <w:rPr>
          <w:spacing w:val="-7"/>
        </w:rPr>
        <w:t xml:space="preserve"> </w:t>
      </w:r>
      <w:r>
        <w:t>for</w:t>
      </w:r>
      <w:r>
        <w:rPr>
          <w:spacing w:val="-7"/>
        </w:rPr>
        <w:t xml:space="preserve"> </w:t>
      </w:r>
      <w:r>
        <w:t>Letting</w:t>
      </w:r>
      <w:r>
        <w:rPr>
          <w:spacing w:val="-6"/>
        </w:rPr>
        <w:t xml:space="preserve"> </w:t>
      </w:r>
      <w:r>
        <w:t>and</w:t>
      </w:r>
      <w:r>
        <w:rPr>
          <w:spacing w:val="-6"/>
        </w:rPr>
        <w:t xml:space="preserve"> </w:t>
      </w:r>
      <w:r>
        <w:t>Property</w:t>
      </w:r>
      <w:r>
        <w:rPr>
          <w:spacing w:val="-5"/>
        </w:rPr>
        <w:t xml:space="preserve"> </w:t>
      </w:r>
      <w:r>
        <w:t>Management</w:t>
      </w:r>
      <w:r>
        <w:rPr>
          <w:spacing w:val="-4"/>
        </w:rPr>
        <w:t xml:space="preserve"> </w:t>
      </w:r>
      <w:r>
        <w:rPr>
          <w:spacing w:val="-2"/>
        </w:rPr>
        <w:t>Agents;</w:t>
      </w:r>
    </w:p>
    <w:p w14:paraId="41F79221" w14:textId="569F9A1A" w:rsidR="00186276" w:rsidRDefault="00186276" w:rsidP="00357E6A">
      <w:pPr>
        <w:pStyle w:val="BodyText"/>
        <w:spacing w:line="276" w:lineRule="auto"/>
        <w:ind w:left="23"/>
        <w:jc w:val="both"/>
      </w:pPr>
      <w:r>
        <w:t>Letting</w:t>
      </w:r>
      <w:r>
        <w:rPr>
          <w:spacing w:val="-4"/>
        </w:rPr>
        <w:t xml:space="preserve"> </w:t>
      </w:r>
      <w:r>
        <w:t>and</w:t>
      </w:r>
      <w:r>
        <w:rPr>
          <w:spacing w:val="-6"/>
        </w:rPr>
        <w:t xml:space="preserve"> </w:t>
      </w:r>
      <w:r>
        <w:t>Property</w:t>
      </w:r>
      <w:r>
        <w:rPr>
          <w:spacing w:val="-4"/>
        </w:rPr>
        <w:t xml:space="preserve"> </w:t>
      </w:r>
      <w:r>
        <w:t>Management</w:t>
      </w:r>
      <w:r>
        <w:rPr>
          <w:spacing w:val="-3"/>
        </w:rPr>
        <w:t xml:space="preserve"> </w:t>
      </w:r>
      <w:r>
        <w:t xml:space="preserve">Agents (C &amp; D </w:t>
      </w:r>
      <w:proofErr w:type="spellStart"/>
      <w:r>
        <w:t>licence</w:t>
      </w:r>
      <w:proofErr w:type="spellEnd"/>
      <w:r>
        <w:t xml:space="preserve"> holders)</w:t>
      </w:r>
      <w:r>
        <w:rPr>
          <w:spacing w:val="-5"/>
        </w:rPr>
        <w:t xml:space="preserve"> </w:t>
      </w:r>
      <w:r>
        <w:t>must</w:t>
      </w:r>
      <w:r>
        <w:rPr>
          <w:spacing w:val="-3"/>
        </w:rPr>
        <w:t xml:space="preserve"> </w:t>
      </w:r>
      <w:r>
        <w:t>have</w:t>
      </w:r>
      <w:r>
        <w:rPr>
          <w:spacing w:val="-4"/>
        </w:rPr>
        <w:t xml:space="preserve"> </w:t>
      </w:r>
      <w:r>
        <w:t>Anti-Money</w:t>
      </w:r>
      <w:r>
        <w:rPr>
          <w:spacing w:val="-4"/>
        </w:rPr>
        <w:t xml:space="preserve"> </w:t>
      </w:r>
      <w:r>
        <w:t xml:space="preserve">Laundering Policies and Procedures appropriate to their business in place. </w:t>
      </w:r>
    </w:p>
    <w:p w14:paraId="1C67B61E" w14:textId="77777777" w:rsidR="00357E6A" w:rsidRDefault="00357E6A" w:rsidP="00357E6A">
      <w:pPr>
        <w:pStyle w:val="BodyText"/>
        <w:spacing w:line="276" w:lineRule="auto"/>
        <w:ind w:left="23"/>
        <w:jc w:val="both"/>
      </w:pPr>
    </w:p>
    <w:p w14:paraId="51ADF280" w14:textId="5140E755" w:rsidR="005B456E" w:rsidRDefault="00186276" w:rsidP="00357E6A">
      <w:pPr>
        <w:pStyle w:val="BodyText"/>
        <w:spacing w:line="276" w:lineRule="auto"/>
        <w:ind w:left="23"/>
        <w:jc w:val="both"/>
      </w:pPr>
      <w:r>
        <w:t xml:space="preserve">A template </w:t>
      </w:r>
      <w:r>
        <w:rPr>
          <w:i/>
        </w:rPr>
        <w:t xml:space="preserve">AML/CFT Policies and Procedures for Property Service Providers </w:t>
      </w:r>
      <w:r>
        <w:t>document is available on the PSRA website. This template covers all categories of property services and should be adapted as necessary to reflect the individual business and the particular services they provide.</w:t>
      </w:r>
    </w:p>
    <w:p w14:paraId="5328F27A" w14:textId="77777777" w:rsidR="00186276" w:rsidRDefault="00186276" w:rsidP="00186276">
      <w:pPr>
        <w:pStyle w:val="BodyText"/>
        <w:spacing w:line="276" w:lineRule="auto"/>
        <w:ind w:left="383"/>
        <w:jc w:val="both"/>
      </w:pPr>
    </w:p>
    <w:p w14:paraId="51ADF281" w14:textId="77777777" w:rsidR="005B456E" w:rsidRPr="00357E6A" w:rsidRDefault="00186276" w:rsidP="00357E6A">
      <w:pPr>
        <w:pStyle w:val="ListParagraph"/>
        <w:numPr>
          <w:ilvl w:val="0"/>
          <w:numId w:val="5"/>
        </w:numPr>
        <w:rPr>
          <w:b/>
          <w:bCs/>
        </w:rPr>
      </w:pPr>
      <w:r w:rsidRPr="00357E6A">
        <w:rPr>
          <w:b/>
          <w:bCs/>
        </w:rPr>
        <w:t>Business Risk Assessment</w:t>
      </w:r>
    </w:p>
    <w:p w14:paraId="42F2FA22" w14:textId="77777777" w:rsidR="00357E6A" w:rsidRDefault="00186276" w:rsidP="00357E6A">
      <w:pPr>
        <w:pStyle w:val="BodyText"/>
        <w:spacing w:line="276" w:lineRule="auto"/>
        <w:ind w:left="23" w:right="57"/>
        <w:jc w:val="both"/>
      </w:pPr>
      <w:r>
        <w:t>Letting and Property Management Agents have a Business Risk Assessment in respect of the money laundering and/or terrorist financing risks posed to</w:t>
      </w:r>
      <w:r>
        <w:rPr>
          <w:spacing w:val="40"/>
        </w:rPr>
        <w:t xml:space="preserve"> </w:t>
      </w:r>
      <w:r>
        <w:t>their</w:t>
      </w:r>
      <w:r>
        <w:rPr>
          <w:spacing w:val="-2"/>
        </w:rPr>
        <w:t xml:space="preserve"> </w:t>
      </w:r>
      <w:r>
        <w:t>business in place.</w:t>
      </w:r>
      <w:r>
        <w:rPr>
          <w:spacing w:val="-4"/>
        </w:rPr>
        <w:t xml:space="preserve"> </w:t>
      </w:r>
      <w:r>
        <w:t>This</w:t>
      </w:r>
      <w:r>
        <w:rPr>
          <w:spacing w:val="-2"/>
        </w:rPr>
        <w:t xml:space="preserve"> </w:t>
      </w:r>
      <w:r>
        <w:t>assessment</w:t>
      </w:r>
      <w:r>
        <w:rPr>
          <w:spacing w:val="-3"/>
        </w:rPr>
        <w:t xml:space="preserve"> </w:t>
      </w:r>
      <w:r>
        <w:t>should</w:t>
      </w:r>
      <w:r>
        <w:rPr>
          <w:spacing w:val="-4"/>
        </w:rPr>
        <w:t xml:space="preserve"> </w:t>
      </w:r>
      <w:r>
        <w:t>identify</w:t>
      </w:r>
      <w:r>
        <w:rPr>
          <w:spacing w:val="-2"/>
        </w:rPr>
        <w:t xml:space="preserve"> </w:t>
      </w:r>
      <w:r>
        <w:t>and</w:t>
      </w:r>
      <w:r>
        <w:rPr>
          <w:spacing w:val="-6"/>
        </w:rPr>
        <w:t xml:space="preserve"> </w:t>
      </w:r>
      <w:r>
        <w:t>evaluate</w:t>
      </w:r>
      <w:r>
        <w:rPr>
          <w:spacing w:val="-4"/>
        </w:rPr>
        <w:t xml:space="preserve"> </w:t>
      </w:r>
      <w:r>
        <w:t>the</w:t>
      </w:r>
      <w:r>
        <w:rPr>
          <w:spacing w:val="-2"/>
        </w:rPr>
        <w:t xml:space="preserve"> </w:t>
      </w:r>
      <w:r>
        <w:t>relevant</w:t>
      </w:r>
      <w:r>
        <w:rPr>
          <w:spacing w:val="-2"/>
        </w:rPr>
        <w:t xml:space="preserve"> </w:t>
      </w:r>
      <w:r>
        <w:t>risk</w:t>
      </w:r>
      <w:r>
        <w:rPr>
          <w:spacing w:val="-2"/>
        </w:rPr>
        <w:t xml:space="preserve"> </w:t>
      </w:r>
      <w:r>
        <w:t>factors</w:t>
      </w:r>
      <w:r>
        <w:rPr>
          <w:spacing w:val="-5"/>
        </w:rPr>
        <w:t xml:space="preserve"> </w:t>
      </w:r>
      <w:r>
        <w:t>and</w:t>
      </w:r>
      <w:r>
        <w:rPr>
          <w:spacing w:val="-4"/>
        </w:rPr>
        <w:t xml:space="preserve"> </w:t>
      </w:r>
      <w:r>
        <w:t xml:space="preserve">the associated control measure(s) in place. The Business Risk Assessment should be regularly reviewed and updated as risks emerge and evolve. A template </w:t>
      </w:r>
      <w:r>
        <w:rPr>
          <w:i/>
        </w:rPr>
        <w:t xml:space="preserve">Business Risk Assessment </w:t>
      </w:r>
      <w:r>
        <w:t>is available on the PSRA website.</w:t>
      </w:r>
    </w:p>
    <w:p w14:paraId="11033E53" w14:textId="77777777" w:rsidR="00357E6A" w:rsidRDefault="00357E6A" w:rsidP="00357E6A">
      <w:pPr>
        <w:pStyle w:val="BodyText"/>
        <w:spacing w:line="276" w:lineRule="auto"/>
        <w:ind w:left="383" w:right="57"/>
        <w:jc w:val="both"/>
      </w:pPr>
    </w:p>
    <w:p w14:paraId="00A6E7B5" w14:textId="5467C773" w:rsidR="00357E6A" w:rsidRPr="00357E6A" w:rsidRDefault="00186276" w:rsidP="00357E6A">
      <w:pPr>
        <w:pStyle w:val="BodyText"/>
        <w:numPr>
          <w:ilvl w:val="0"/>
          <w:numId w:val="5"/>
        </w:numPr>
        <w:spacing w:line="276" w:lineRule="auto"/>
        <w:ind w:right="57"/>
        <w:jc w:val="both"/>
      </w:pPr>
      <w:r w:rsidRPr="00357E6A">
        <w:rPr>
          <w:b/>
          <w:bCs/>
          <w:u w:val="single"/>
        </w:rPr>
        <w:t>Client</w:t>
      </w:r>
      <w:r w:rsidRPr="00357E6A">
        <w:rPr>
          <w:b/>
          <w:bCs/>
          <w:spacing w:val="-6"/>
          <w:u w:val="single"/>
        </w:rPr>
        <w:t xml:space="preserve"> </w:t>
      </w:r>
      <w:r w:rsidRPr="00357E6A">
        <w:rPr>
          <w:b/>
          <w:bCs/>
          <w:u w:val="single"/>
        </w:rPr>
        <w:t>Risk</w:t>
      </w:r>
      <w:r w:rsidRPr="00357E6A">
        <w:rPr>
          <w:b/>
          <w:bCs/>
          <w:spacing w:val="-7"/>
          <w:u w:val="single"/>
        </w:rPr>
        <w:t xml:space="preserve"> </w:t>
      </w:r>
      <w:r w:rsidRPr="00357E6A">
        <w:rPr>
          <w:b/>
          <w:bCs/>
          <w:u w:val="single"/>
        </w:rPr>
        <w:t>Assessment</w:t>
      </w:r>
      <w:r w:rsidRPr="00186276">
        <w:rPr>
          <w:spacing w:val="-4"/>
        </w:rPr>
        <w:t xml:space="preserve"> </w:t>
      </w:r>
      <w:r w:rsidR="007C0BC5">
        <w:rPr>
          <w:spacing w:val="-2"/>
        </w:rPr>
        <w:t xml:space="preserve"> (</w:t>
      </w:r>
      <w:r w:rsidR="00357E6A">
        <w:rPr>
          <w:spacing w:val="-2"/>
        </w:rPr>
        <w:t>P</w:t>
      </w:r>
      <w:r w:rsidR="007C0BC5">
        <w:rPr>
          <w:spacing w:val="-2"/>
        </w:rPr>
        <w:t>art 1 &amp; Part 2 of the PSRA’s templates)</w:t>
      </w:r>
    </w:p>
    <w:p w14:paraId="75E229CA" w14:textId="18DD6636" w:rsidR="00186276" w:rsidRDefault="007C0BC5" w:rsidP="00357E6A">
      <w:pPr>
        <w:pStyle w:val="BodyText"/>
        <w:spacing w:line="276" w:lineRule="auto"/>
        <w:ind w:left="23" w:right="57"/>
        <w:jc w:val="both"/>
      </w:pPr>
      <w:r>
        <w:t xml:space="preserve">Letting and Property Management Agents </w:t>
      </w:r>
      <w:r w:rsidR="00186276">
        <w:t xml:space="preserve">must complete an individual  Client Risk Assessment on </w:t>
      </w:r>
      <w:r w:rsidR="00186276" w:rsidRPr="00812EC5">
        <w:rPr>
          <w:b/>
          <w:bCs/>
        </w:rPr>
        <w:t>all clients</w:t>
      </w:r>
      <w:r w:rsidR="00186276">
        <w:t xml:space="preserve"> in respect</w:t>
      </w:r>
      <w:r w:rsidR="00186276">
        <w:rPr>
          <w:spacing w:val="-1"/>
        </w:rPr>
        <w:t xml:space="preserve"> </w:t>
      </w:r>
      <w:r w:rsidR="00186276">
        <w:t>of the money laundering and/or terrorist</w:t>
      </w:r>
      <w:r w:rsidR="00186276">
        <w:rPr>
          <w:spacing w:val="-8"/>
        </w:rPr>
        <w:t xml:space="preserve"> </w:t>
      </w:r>
      <w:r w:rsidR="00186276">
        <w:t>financing</w:t>
      </w:r>
      <w:r w:rsidR="00186276">
        <w:rPr>
          <w:spacing w:val="-7"/>
        </w:rPr>
        <w:t xml:space="preserve"> </w:t>
      </w:r>
      <w:r w:rsidR="00186276">
        <w:t>risks</w:t>
      </w:r>
      <w:r w:rsidR="00186276">
        <w:rPr>
          <w:spacing w:val="-7"/>
        </w:rPr>
        <w:t xml:space="preserve"> </w:t>
      </w:r>
      <w:r w:rsidR="00186276">
        <w:t>they</w:t>
      </w:r>
      <w:r w:rsidR="00186276">
        <w:rPr>
          <w:spacing w:val="-7"/>
        </w:rPr>
        <w:t xml:space="preserve"> </w:t>
      </w:r>
      <w:r w:rsidR="00186276">
        <w:t>pose.</w:t>
      </w:r>
      <w:r w:rsidR="00186276">
        <w:rPr>
          <w:spacing w:val="-9"/>
        </w:rPr>
        <w:t xml:space="preserve"> </w:t>
      </w:r>
      <w:r w:rsidR="00186276">
        <w:t>This</w:t>
      </w:r>
      <w:r w:rsidR="00186276">
        <w:rPr>
          <w:spacing w:val="-7"/>
        </w:rPr>
        <w:t xml:space="preserve"> </w:t>
      </w:r>
      <w:r w:rsidR="00186276">
        <w:t>assessment</w:t>
      </w:r>
      <w:r w:rsidR="00186276">
        <w:rPr>
          <w:spacing w:val="-5"/>
        </w:rPr>
        <w:t xml:space="preserve"> </w:t>
      </w:r>
      <w:r w:rsidR="00186276">
        <w:t>should</w:t>
      </w:r>
      <w:r w:rsidR="00186276">
        <w:rPr>
          <w:spacing w:val="-5"/>
        </w:rPr>
        <w:t xml:space="preserve"> </w:t>
      </w:r>
      <w:r w:rsidR="00186276">
        <w:t>be</w:t>
      </w:r>
      <w:r w:rsidR="00186276">
        <w:rPr>
          <w:spacing w:val="-6"/>
        </w:rPr>
        <w:t xml:space="preserve"> </w:t>
      </w:r>
      <w:proofErr w:type="spellStart"/>
      <w:r w:rsidR="00186276">
        <w:t>categorised</w:t>
      </w:r>
      <w:proofErr w:type="spellEnd"/>
      <w:r w:rsidR="00186276">
        <w:rPr>
          <w:spacing w:val="-10"/>
        </w:rPr>
        <w:t xml:space="preserve"> </w:t>
      </w:r>
      <w:r w:rsidR="00186276">
        <w:t>as</w:t>
      </w:r>
      <w:r w:rsidR="00186276">
        <w:rPr>
          <w:spacing w:val="-6"/>
        </w:rPr>
        <w:t xml:space="preserve"> </w:t>
      </w:r>
      <w:r w:rsidR="00186276">
        <w:t>high,</w:t>
      </w:r>
      <w:r w:rsidR="00186276">
        <w:rPr>
          <w:spacing w:val="-6"/>
        </w:rPr>
        <w:t xml:space="preserve"> </w:t>
      </w:r>
      <w:r w:rsidR="00186276">
        <w:t>medium</w:t>
      </w:r>
      <w:r w:rsidR="00186276">
        <w:rPr>
          <w:spacing w:val="-6"/>
        </w:rPr>
        <w:t xml:space="preserve"> </w:t>
      </w:r>
      <w:r w:rsidR="00186276">
        <w:t>or</w:t>
      </w:r>
      <w:r w:rsidR="00186276">
        <w:rPr>
          <w:spacing w:val="-8"/>
        </w:rPr>
        <w:t xml:space="preserve"> </w:t>
      </w:r>
      <w:r w:rsidR="00186276">
        <w:t>low</w:t>
      </w:r>
      <w:r w:rsidR="00186276">
        <w:rPr>
          <w:spacing w:val="-7"/>
        </w:rPr>
        <w:t xml:space="preserve"> </w:t>
      </w:r>
      <w:r w:rsidR="00186276">
        <w:t>and</w:t>
      </w:r>
      <w:r w:rsidR="00186276">
        <w:rPr>
          <w:spacing w:val="-5"/>
        </w:rPr>
        <w:t xml:space="preserve"> </w:t>
      </w:r>
      <w:r w:rsidR="00186276">
        <w:t>a</w:t>
      </w:r>
      <w:r w:rsidR="00186276">
        <w:rPr>
          <w:spacing w:val="-6"/>
        </w:rPr>
        <w:t xml:space="preserve"> </w:t>
      </w:r>
      <w:r w:rsidR="00186276">
        <w:t>risk rating should be clearly recorded in respect of each client.</w:t>
      </w:r>
    </w:p>
    <w:p w14:paraId="6411E4AB" w14:textId="731980DB" w:rsidR="00186276" w:rsidRDefault="00186276" w:rsidP="00186276">
      <w:pPr>
        <w:pStyle w:val="BodyText"/>
        <w:spacing w:before="41" w:line="276" w:lineRule="auto"/>
        <w:ind w:left="383" w:right="90"/>
        <w:jc w:val="both"/>
      </w:pPr>
    </w:p>
    <w:p w14:paraId="35F80E34" w14:textId="522B23CE" w:rsidR="00186276" w:rsidRDefault="00186276" w:rsidP="00357E6A">
      <w:pPr>
        <w:pStyle w:val="Heading1"/>
        <w:numPr>
          <w:ilvl w:val="0"/>
          <w:numId w:val="5"/>
        </w:numPr>
        <w:tabs>
          <w:tab w:val="left" w:pos="741"/>
        </w:tabs>
        <w:spacing w:line="268" w:lineRule="exact"/>
        <w:jc w:val="both"/>
        <w:rPr>
          <w:u w:val="none"/>
        </w:rPr>
      </w:pPr>
      <w:r>
        <w:t>Customer</w:t>
      </w:r>
      <w:r>
        <w:rPr>
          <w:spacing w:val="-6"/>
        </w:rPr>
        <w:t xml:space="preserve"> </w:t>
      </w:r>
      <w:r>
        <w:t>Due</w:t>
      </w:r>
      <w:r>
        <w:rPr>
          <w:spacing w:val="-6"/>
        </w:rPr>
        <w:t xml:space="preserve"> </w:t>
      </w:r>
      <w:r>
        <w:t>Diligence</w:t>
      </w:r>
      <w:r>
        <w:rPr>
          <w:spacing w:val="-4"/>
        </w:rPr>
        <w:t xml:space="preserve"> </w:t>
      </w:r>
      <w:r>
        <w:rPr>
          <w:spacing w:val="-2"/>
        </w:rPr>
        <w:t>(CDD)</w:t>
      </w:r>
      <w:r w:rsidR="007C0BC5" w:rsidRPr="00357E6A">
        <w:rPr>
          <w:spacing w:val="-2"/>
          <w:u w:val="none"/>
        </w:rPr>
        <w:t xml:space="preserve"> </w:t>
      </w:r>
      <w:r w:rsidR="007C0BC5" w:rsidRPr="00357E6A">
        <w:rPr>
          <w:b w:val="0"/>
          <w:bCs w:val="0"/>
          <w:spacing w:val="-2"/>
          <w:u w:val="none"/>
        </w:rPr>
        <w:t>(Part 3 &amp; Part 4 of the PSRA’s templates)</w:t>
      </w:r>
    </w:p>
    <w:p w14:paraId="3E6CD60F" w14:textId="77777777" w:rsidR="00186276" w:rsidRDefault="00186276" w:rsidP="00186276">
      <w:pPr>
        <w:pStyle w:val="BodyText"/>
        <w:spacing w:before="0" w:line="276" w:lineRule="auto"/>
        <w:ind w:left="383" w:right="90"/>
        <w:jc w:val="both"/>
      </w:pPr>
    </w:p>
    <w:p w14:paraId="0C01CD66" w14:textId="7FC1C13C" w:rsidR="00186276" w:rsidRDefault="00186276" w:rsidP="00357E6A">
      <w:pPr>
        <w:pStyle w:val="BodyText"/>
        <w:spacing w:before="0" w:line="276" w:lineRule="auto"/>
        <w:ind w:left="23" w:right="90"/>
        <w:jc w:val="both"/>
      </w:pPr>
      <w:r w:rsidRPr="00186276">
        <w:t>Letting agents must carry out CDD in circumstances where monthly rents relating to the client is greater than or equal to €10,000</w:t>
      </w:r>
      <w:r>
        <w:t xml:space="preserve"> </w:t>
      </w:r>
      <w:proofErr w:type="spellStart"/>
      <w:r>
        <w:t>i.e</w:t>
      </w:r>
      <w:proofErr w:type="spellEnd"/>
      <w:r>
        <w:t xml:space="preserve"> the client is receiving €10,000 or greater per month in rent. </w:t>
      </w:r>
      <w:r w:rsidRPr="00186276">
        <w:t>This can be accumulated over a number of properties.</w:t>
      </w:r>
    </w:p>
    <w:p w14:paraId="49EBA0D2" w14:textId="77777777" w:rsidR="00186276" w:rsidRDefault="00186276" w:rsidP="00357E6A">
      <w:pPr>
        <w:pStyle w:val="BodyText"/>
        <w:spacing w:before="0" w:line="276" w:lineRule="auto"/>
        <w:ind w:left="23" w:right="90"/>
        <w:jc w:val="both"/>
      </w:pPr>
    </w:p>
    <w:p w14:paraId="53BC03B4" w14:textId="4F14EAA7" w:rsidR="00186276" w:rsidRDefault="00186276" w:rsidP="00357E6A">
      <w:pPr>
        <w:pStyle w:val="BodyText"/>
        <w:spacing w:before="0" w:line="276" w:lineRule="auto"/>
        <w:ind w:left="23" w:right="90"/>
        <w:jc w:val="both"/>
      </w:pPr>
      <w:r w:rsidRPr="00186276">
        <w:t xml:space="preserve">Letting agents must carry out CDD in circumstances where monthly rents relating to the </w:t>
      </w:r>
      <w:r>
        <w:t>tenant</w:t>
      </w:r>
      <w:r w:rsidRPr="00186276">
        <w:t xml:space="preserve"> is greater than or equal to €10,000</w:t>
      </w:r>
      <w:r>
        <w:t xml:space="preserve"> </w:t>
      </w:r>
      <w:proofErr w:type="spellStart"/>
      <w:r>
        <w:t>i.e</w:t>
      </w:r>
      <w:proofErr w:type="spellEnd"/>
      <w:r>
        <w:t xml:space="preserve"> the tenant is paying rent of tenant is paying rent of €10,000 or more per month in rent. </w:t>
      </w:r>
    </w:p>
    <w:p w14:paraId="5341575A" w14:textId="77777777" w:rsidR="00186276" w:rsidRDefault="00186276" w:rsidP="00186276">
      <w:pPr>
        <w:pStyle w:val="BodyText"/>
        <w:spacing w:before="0" w:line="276" w:lineRule="auto"/>
        <w:ind w:left="383" w:right="90"/>
        <w:jc w:val="both"/>
      </w:pPr>
    </w:p>
    <w:p w14:paraId="751DAA93" w14:textId="77777777" w:rsidR="00186276" w:rsidRDefault="00186276" w:rsidP="00186276">
      <w:pPr>
        <w:pStyle w:val="BodyText"/>
        <w:spacing w:before="117" w:line="232" w:lineRule="auto"/>
        <w:ind w:left="40" w:right="78"/>
      </w:pPr>
      <w:r>
        <w:t>Where</w:t>
      </w:r>
      <w:r>
        <w:rPr>
          <w:spacing w:val="-2"/>
        </w:rPr>
        <w:t xml:space="preserve"> </w:t>
      </w:r>
      <w:r>
        <w:t>money</w:t>
      </w:r>
      <w:r>
        <w:rPr>
          <w:spacing w:val="-3"/>
        </w:rPr>
        <w:t xml:space="preserve"> </w:t>
      </w:r>
      <w:r>
        <w:t>laundering</w:t>
      </w:r>
      <w:r>
        <w:rPr>
          <w:spacing w:val="-1"/>
        </w:rPr>
        <w:t xml:space="preserve"> </w:t>
      </w:r>
      <w:r>
        <w:t>or terrorist</w:t>
      </w:r>
      <w:r>
        <w:rPr>
          <w:spacing w:val="-2"/>
        </w:rPr>
        <w:t xml:space="preserve"> </w:t>
      </w:r>
      <w:r>
        <w:t>financing</w:t>
      </w:r>
      <w:r>
        <w:rPr>
          <w:spacing w:val="-1"/>
        </w:rPr>
        <w:t xml:space="preserve"> </w:t>
      </w:r>
      <w:r>
        <w:t>is</w:t>
      </w:r>
      <w:r>
        <w:rPr>
          <w:spacing w:val="-3"/>
        </w:rPr>
        <w:t xml:space="preserve"> </w:t>
      </w:r>
      <w:r>
        <w:t>suspected,</w:t>
      </w:r>
      <w:r>
        <w:rPr>
          <w:spacing w:val="-3"/>
        </w:rPr>
        <w:t xml:space="preserve"> </w:t>
      </w:r>
      <w:r>
        <w:t>PSPs must always</w:t>
      </w:r>
      <w:r>
        <w:rPr>
          <w:spacing w:val="-1"/>
        </w:rPr>
        <w:t xml:space="preserve"> </w:t>
      </w:r>
      <w:r>
        <w:t>carry out CDD regardless of the type of service or the transaction amounts involved.</w:t>
      </w:r>
    </w:p>
    <w:p w14:paraId="42A7DB28" w14:textId="77777777" w:rsidR="00186276" w:rsidRDefault="00186276" w:rsidP="00186276">
      <w:pPr>
        <w:pStyle w:val="BodyText"/>
        <w:spacing w:before="0" w:line="276" w:lineRule="auto"/>
        <w:ind w:left="383" w:right="90"/>
        <w:jc w:val="both"/>
      </w:pPr>
    </w:p>
    <w:p w14:paraId="6EE28858" w14:textId="77777777" w:rsidR="00357E6A" w:rsidRDefault="00357E6A" w:rsidP="00186276">
      <w:pPr>
        <w:pStyle w:val="BodyText"/>
        <w:spacing w:before="0" w:line="276" w:lineRule="auto"/>
        <w:ind w:left="383" w:right="90"/>
        <w:jc w:val="both"/>
      </w:pPr>
    </w:p>
    <w:p w14:paraId="18A333B5" w14:textId="77777777" w:rsidR="00357E6A" w:rsidRDefault="00357E6A" w:rsidP="00186276">
      <w:pPr>
        <w:pStyle w:val="BodyText"/>
        <w:spacing w:before="0" w:line="276" w:lineRule="auto"/>
        <w:ind w:left="383" w:right="90"/>
        <w:jc w:val="both"/>
      </w:pPr>
    </w:p>
    <w:p w14:paraId="46E255FD" w14:textId="77777777" w:rsidR="00357E6A" w:rsidRDefault="00357E6A" w:rsidP="00186276">
      <w:pPr>
        <w:pStyle w:val="BodyText"/>
        <w:spacing w:before="0" w:line="276" w:lineRule="auto"/>
        <w:ind w:left="383" w:right="90"/>
        <w:jc w:val="both"/>
      </w:pPr>
    </w:p>
    <w:p w14:paraId="31EB00F3" w14:textId="77777777" w:rsidR="00357E6A" w:rsidRDefault="00357E6A" w:rsidP="00186276">
      <w:pPr>
        <w:pStyle w:val="BodyText"/>
        <w:spacing w:before="0" w:line="276" w:lineRule="auto"/>
        <w:ind w:left="383" w:right="90"/>
        <w:jc w:val="both"/>
      </w:pPr>
    </w:p>
    <w:p w14:paraId="787BB3A4" w14:textId="77777777" w:rsidR="00357E6A" w:rsidRDefault="00357E6A" w:rsidP="00186276">
      <w:pPr>
        <w:pStyle w:val="BodyText"/>
        <w:spacing w:before="0" w:line="276" w:lineRule="auto"/>
        <w:ind w:left="383" w:right="90"/>
        <w:jc w:val="both"/>
      </w:pPr>
    </w:p>
    <w:p w14:paraId="056DF675" w14:textId="77777777" w:rsidR="00357E6A" w:rsidRDefault="00357E6A" w:rsidP="00186276">
      <w:pPr>
        <w:pStyle w:val="BodyText"/>
        <w:spacing w:before="0" w:line="276" w:lineRule="auto"/>
        <w:ind w:left="383" w:right="90"/>
        <w:jc w:val="both"/>
      </w:pPr>
    </w:p>
    <w:p w14:paraId="6F3454B9" w14:textId="77777777" w:rsidR="00357E6A" w:rsidRDefault="00357E6A" w:rsidP="00186276">
      <w:pPr>
        <w:pStyle w:val="BodyText"/>
        <w:spacing w:before="0" w:line="276" w:lineRule="auto"/>
        <w:ind w:left="383" w:right="90"/>
        <w:jc w:val="both"/>
      </w:pPr>
    </w:p>
    <w:p w14:paraId="707377EE" w14:textId="77777777" w:rsidR="00186276" w:rsidRPr="00357E6A" w:rsidRDefault="00186276" w:rsidP="00357E6A">
      <w:pPr>
        <w:pStyle w:val="BodyText"/>
        <w:spacing w:before="0" w:line="276" w:lineRule="auto"/>
        <w:ind w:left="0" w:right="90"/>
        <w:jc w:val="both"/>
        <w:rPr>
          <w:b/>
          <w:bCs/>
        </w:rPr>
      </w:pPr>
    </w:p>
    <w:p w14:paraId="51ADF287" w14:textId="77777777" w:rsidR="005B456E" w:rsidRPr="00357E6A" w:rsidRDefault="00186276" w:rsidP="00357E6A">
      <w:pPr>
        <w:pStyle w:val="ListParagraph"/>
        <w:numPr>
          <w:ilvl w:val="0"/>
          <w:numId w:val="5"/>
        </w:numPr>
        <w:rPr>
          <w:b/>
          <w:bCs/>
          <w:u w:val="none"/>
        </w:rPr>
      </w:pPr>
      <w:r w:rsidRPr="00357E6A">
        <w:rPr>
          <w:b/>
          <w:bCs/>
        </w:rPr>
        <w:lastRenderedPageBreak/>
        <w:t>Suspicious</w:t>
      </w:r>
      <w:r w:rsidRPr="00357E6A">
        <w:rPr>
          <w:b/>
          <w:bCs/>
          <w:spacing w:val="-10"/>
        </w:rPr>
        <w:t xml:space="preserve"> </w:t>
      </w:r>
      <w:r w:rsidRPr="00357E6A">
        <w:rPr>
          <w:b/>
          <w:bCs/>
        </w:rPr>
        <w:t>Transaction</w:t>
      </w:r>
      <w:r w:rsidRPr="00357E6A">
        <w:rPr>
          <w:b/>
          <w:bCs/>
          <w:spacing w:val="-9"/>
        </w:rPr>
        <w:t xml:space="preserve"> </w:t>
      </w:r>
      <w:r w:rsidRPr="00357E6A">
        <w:rPr>
          <w:b/>
          <w:bCs/>
          <w:spacing w:val="-2"/>
        </w:rPr>
        <w:t>Reporting</w:t>
      </w:r>
    </w:p>
    <w:p w14:paraId="7EACA3C9" w14:textId="16778086" w:rsidR="00186276" w:rsidRDefault="00186276" w:rsidP="00357E6A">
      <w:pPr>
        <w:pStyle w:val="BodyText"/>
        <w:spacing w:line="276" w:lineRule="auto"/>
        <w:ind w:left="23"/>
        <w:jc w:val="both"/>
      </w:pPr>
      <w:r>
        <w:t>Letting and Property Management Agents must examine the background and purpose of transactions that are; complex, unusually large, conducted in unusual patterns, or do not have</w:t>
      </w:r>
      <w:r>
        <w:rPr>
          <w:spacing w:val="-3"/>
        </w:rPr>
        <w:t xml:space="preserve"> </w:t>
      </w:r>
      <w:r>
        <w:t>an</w:t>
      </w:r>
      <w:r>
        <w:rPr>
          <w:spacing w:val="-4"/>
        </w:rPr>
        <w:t xml:space="preserve"> </w:t>
      </w:r>
      <w:r>
        <w:t>apparent</w:t>
      </w:r>
      <w:r>
        <w:rPr>
          <w:spacing w:val="-3"/>
        </w:rPr>
        <w:t xml:space="preserve"> </w:t>
      </w:r>
      <w:r>
        <w:t>economic</w:t>
      </w:r>
      <w:r>
        <w:rPr>
          <w:spacing w:val="-3"/>
        </w:rPr>
        <w:t xml:space="preserve"> </w:t>
      </w:r>
      <w:r>
        <w:t>or</w:t>
      </w:r>
      <w:r>
        <w:rPr>
          <w:spacing w:val="-3"/>
        </w:rPr>
        <w:t xml:space="preserve"> </w:t>
      </w:r>
      <w:r>
        <w:t>lawful</w:t>
      </w:r>
      <w:r>
        <w:rPr>
          <w:spacing w:val="-4"/>
        </w:rPr>
        <w:t xml:space="preserve"> </w:t>
      </w:r>
      <w:r>
        <w:t>purpose.</w:t>
      </w:r>
      <w:r>
        <w:rPr>
          <w:spacing w:val="-3"/>
        </w:rPr>
        <w:t xml:space="preserve"> </w:t>
      </w:r>
      <w:r>
        <w:t>Where</w:t>
      </w:r>
      <w:r>
        <w:rPr>
          <w:spacing w:val="-5"/>
        </w:rPr>
        <w:t xml:space="preserve"> </w:t>
      </w:r>
      <w:r>
        <w:t>a</w:t>
      </w:r>
      <w:r>
        <w:rPr>
          <w:spacing w:val="-3"/>
        </w:rPr>
        <w:t xml:space="preserve"> </w:t>
      </w:r>
      <w:r>
        <w:t>suspicious</w:t>
      </w:r>
      <w:r>
        <w:rPr>
          <w:spacing w:val="-6"/>
        </w:rPr>
        <w:t xml:space="preserve"> </w:t>
      </w:r>
      <w:r>
        <w:t>transaction</w:t>
      </w:r>
      <w:r>
        <w:rPr>
          <w:spacing w:val="-4"/>
        </w:rPr>
        <w:t xml:space="preserve"> </w:t>
      </w:r>
      <w:r>
        <w:t>has</w:t>
      </w:r>
      <w:r>
        <w:rPr>
          <w:spacing w:val="-3"/>
        </w:rPr>
        <w:t xml:space="preserve"> </w:t>
      </w:r>
      <w:r>
        <w:t>occurred, Letting and Property Management Agents must report this as soon as possible to both the Gardaí and the Revenue Commissioners. Guidance on how to make a suspicious transaction report is available on the PSRA website.</w:t>
      </w:r>
    </w:p>
    <w:p w14:paraId="2ACDD6C3" w14:textId="77777777" w:rsidR="00186276" w:rsidRDefault="00186276" w:rsidP="00186276">
      <w:pPr>
        <w:pStyle w:val="BodyText"/>
        <w:spacing w:line="276" w:lineRule="auto"/>
        <w:ind w:left="383"/>
        <w:jc w:val="both"/>
      </w:pPr>
    </w:p>
    <w:p w14:paraId="4D6765B6" w14:textId="77777777" w:rsidR="00186276" w:rsidRPr="00357E6A" w:rsidRDefault="00186276" w:rsidP="00357E6A">
      <w:pPr>
        <w:pStyle w:val="ListParagraph"/>
        <w:numPr>
          <w:ilvl w:val="0"/>
          <w:numId w:val="5"/>
        </w:numPr>
        <w:rPr>
          <w:b/>
          <w:bCs/>
        </w:rPr>
      </w:pPr>
      <w:r w:rsidRPr="00357E6A">
        <w:rPr>
          <w:b/>
          <w:bCs/>
        </w:rPr>
        <w:t>Training</w:t>
      </w:r>
    </w:p>
    <w:p w14:paraId="12B5DDEC" w14:textId="77777777" w:rsidR="00186276" w:rsidRDefault="00186276" w:rsidP="00357E6A">
      <w:pPr>
        <w:pStyle w:val="BodyText"/>
        <w:spacing w:before="26" w:line="232" w:lineRule="auto"/>
        <w:ind w:left="23" w:right="60"/>
      </w:pPr>
      <w:r>
        <w:t>All staff involved in the conduct of the</w:t>
      </w:r>
      <w:r>
        <w:rPr>
          <w:spacing w:val="-3"/>
        </w:rPr>
        <w:t xml:space="preserve"> </w:t>
      </w:r>
      <w:r>
        <w:t>PSP’s</w:t>
      </w:r>
      <w:r>
        <w:rPr>
          <w:spacing w:val="-4"/>
        </w:rPr>
        <w:t xml:space="preserve"> </w:t>
      </w:r>
      <w:r>
        <w:t>business</w:t>
      </w:r>
      <w:r>
        <w:rPr>
          <w:spacing w:val="-2"/>
        </w:rPr>
        <w:t xml:space="preserve"> </w:t>
      </w:r>
      <w:r>
        <w:t>must</w:t>
      </w:r>
      <w:r>
        <w:rPr>
          <w:spacing w:val="-3"/>
        </w:rPr>
        <w:t xml:space="preserve"> </w:t>
      </w:r>
      <w:r>
        <w:t>be</w:t>
      </w:r>
      <w:r>
        <w:rPr>
          <w:spacing w:val="-1"/>
        </w:rPr>
        <w:t xml:space="preserve"> </w:t>
      </w:r>
      <w:r>
        <w:t>provided</w:t>
      </w:r>
      <w:r>
        <w:rPr>
          <w:spacing w:val="-1"/>
        </w:rPr>
        <w:t xml:space="preserve"> </w:t>
      </w:r>
      <w:r>
        <w:t>with</w:t>
      </w:r>
      <w:r>
        <w:rPr>
          <w:spacing w:val="-3"/>
        </w:rPr>
        <w:t xml:space="preserve"> </w:t>
      </w:r>
      <w:r>
        <w:t>ongoing</w:t>
      </w:r>
      <w:r>
        <w:rPr>
          <w:spacing w:val="-2"/>
        </w:rPr>
        <w:t xml:space="preserve"> </w:t>
      </w:r>
      <w:r>
        <w:t>training</w:t>
      </w:r>
      <w:r>
        <w:rPr>
          <w:spacing w:val="-2"/>
        </w:rPr>
        <w:t xml:space="preserve"> </w:t>
      </w:r>
      <w:r>
        <w:t>on</w:t>
      </w:r>
      <w:r>
        <w:rPr>
          <w:spacing w:val="-1"/>
        </w:rPr>
        <w:t xml:space="preserve"> </w:t>
      </w:r>
      <w:r>
        <w:t>identifying</w:t>
      </w:r>
      <w:r>
        <w:rPr>
          <w:spacing w:val="-4"/>
        </w:rPr>
        <w:t xml:space="preserve"> </w:t>
      </w:r>
      <w:r>
        <w:t>money</w:t>
      </w:r>
      <w:r>
        <w:rPr>
          <w:spacing w:val="-2"/>
        </w:rPr>
        <w:t xml:space="preserve"> </w:t>
      </w:r>
      <w:r>
        <w:t>laundering</w:t>
      </w:r>
      <w:r>
        <w:rPr>
          <w:spacing w:val="-4"/>
        </w:rPr>
        <w:t xml:space="preserve"> </w:t>
      </w:r>
      <w:r>
        <w:t>activity</w:t>
      </w:r>
      <w:r>
        <w:rPr>
          <w:spacing w:val="-2"/>
        </w:rPr>
        <w:t xml:space="preserve"> </w:t>
      </w:r>
      <w:r>
        <w:t>and</w:t>
      </w:r>
      <w:r>
        <w:rPr>
          <w:spacing w:val="-1"/>
        </w:rPr>
        <w:t xml:space="preserve"> </w:t>
      </w:r>
      <w:r>
        <w:t>on steps to be taken where such activity is suspected or identified.</w:t>
      </w:r>
    </w:p>
    <w:p w14:paraId="4CBE8C34" w14:textId="77777777" w:rsidR="00186276" w:rsidRDefault="00186276" w:rsidP="00186276">
      <w:pPr>
        <w:pStyle w:val="BodyText"/>
        <w:spacing w:line="276" w:lineRule="auto"/>
        <w:ind w:left="383"/>
        <w:jc w:val="both"/>
      </w:pPr>
    </w:p>
    <w:p w14:paraId="51ADF289" w14:textId="77777777" w:rsidR="005B456E" w:rsidRDefault="00186276" w:rsidP="00357E6A">
      <w:pPr>
        <w:pStyle w:val="Heading1"/>
        <w:numPr>
          <w:ilvl w:val="0"/>
          <w:numId w:val="5"/>
        </w:numPr>
        <w:tabs>
          <w:tab w:val="left" w:pos="741"/>
        </w:tabs>
        <w:spacing w:before="1"/>
        <w:jc w:val="both"/>
        <w:rPr>
          <w:u w:val="none"/>
        </w:rPr>
      </w:pPr>
      <w:r>
        <w:t>Record</w:t>
      </w:r>
      <w:r>
        <w:rPr>
          <w:spacing w:val="-5"/>
        </w:rPr>
        <w:t xml:space="preserve"> </w:t>
      </w:r>
      <w:r>
        <w:rPr>
          <w:spacing w:val="-2"/>
        </w:rPr>
        <w:t>Keeping</w:t>
      </w:r>
    </w:p>
    <w:p w14:paraId="51ADF28A" w14:textId="473ACB41" w:rsidR="005B456E" w:rsidRDefault="00186276" w:rsidP="00357E6A">
      <w:pPr>
        <w:pStyle w:val="BodyText"/>
        <w:spacing w:before="19" w:line="276" w:lineRule="auto"/>
        <w:ind w:left="24"/>
        <w:jc w:val="both"/>
      </w:pPr>
      <w:r>
        <w:t>Letting</w:t>
      </w:r>
      <w:r>
        <w:rPr>
          <w:spacing w:val="-2"/>
        </w:rPr>
        <w:t xml:space="preserve"> </w:t>
      </w:r>
      <w:r>
        <w:t>and</w:t>
      </w:r>
      <w:r>
        <w:rPr>
          <w:spacing w:val="-5"/>
        </w:rPr>
        <w:t xml:space="preserve"> </w:t>
      </w:r>
      <w:r>
        <w:t>Property</w:t>
      </w:r>
      <w:r>
        <w:rPr>
          <w:spacing w:val="-3"/>
        </w:rPr>
        <w:t xml:space="preserve"> </w:t>
      </w:r>
      <w:r>
        <w:t>Management</w:t>
      </w:r>
      <w:r>
        <w:rPr>
          <w:spacing w:val="-1"/>
        </w:rPr>
        <w:t xml:space="preserve"> </w:t>
      </w:r>
      <w:r>
        <w:t>Agents</w:t>
      </w:r>
      <w:r>
        <w:rPr>
          <w:spacing w:val="-2"/>
        </w:rPr>
        <w:t xml:space="preserve"> </w:t>
      </w:r>
      <w:r>
        <w:t>must</w:t>
      </w:r>
      <w:r>
        <w:rPr>
          <w:spacing w:val="-1"/>
        </w:rPr>
        <w:t xml:space="preserve"> </w:t>
      </w:r>
      <w:r>
        <w:t>retain</w:t>
      </w:r>
      <w:r>
        <w:rPr>
          <w:spacing w:val="-2"/>
        </w:rPr>
        <w:t xml:space="preserve"> </w:t>
      </w:r>
      <w:r>
        <w:t>all</w:t>
      </w:r>
      <w:r>
        <w:rPr>
          <w:spacing w:val="-1"/>
        </w:rPr>
        <w:t xml:space="preserve"> </w:t>
      </w:r>
      <w:r>
        <w:t>AML</w:t>
      </w:r>
      <w:r>
        <w:rPr>
          <w:spacing w:val="-1"/>
        </w:rPr>
        <w:t xml:space="preserve"> </w:t>
      </w:r>
      <w:r>
        <w:t>records</w:t>
      </w:r>
      <w:r>
        <w:rPr>
          <w:spacing w:val="-3"/>
        </w:rPr>
        <w:t xml:space="preserve"> </w:t>
      </w:r>
      <w:r>
        <w:t>for</w:t>
      </w:r>
      <w:r>
        <w:rPr>
          <w:spacing w:val="-3"/>
        </w:rPr>
        <w:t xml:space="preserve"> </w:t>
      </w:r>
      <w:r>
        <w:t>a</w:t>
      </w:r>
      <w:r>
        <w:rPr>
          <w:spacing w:val="-3"/>
        </w:rPr>
        <w:t xml:space="preserve"> </w:t>
      </w:r>
      <w:r>
        <w:t>minimum</w:t>
      </w:r>
      <w:r>
        <w:rPr>
          <w:spacing w:val="-3"/>
        </w:rPr>
        <w:t xml:space="preserve"> </w:t>
      </w:r>
      <w:r>
        <w:t>of</w:t>
      </w:r>
      <w:r>
        <w:rPr>
          <w:spacing w:val="-4"/>
        </w:rPr>
        <w:t xml:space="preserve"> </w:t>
      </w:r>
      <w:r>
        <w:t>5 years, even where they have since ceased trading.</w:t>
      </w:r>
      <w:r w:rsidRPr="00186276">
        <w:rPr>
          <w:spacing w:val="-2"/>
        </w:rPr>
        <w:t xml:space="preserve"> </w:t>
      </w:r>
      <w:r>
        <w:rPr>
          <w:spacing w:val="-2"/>
        </w:rPr>
        <w:t>This 5 year period begins on the conclusion of the provision of a property service.</w:t>
      </w:r>
    </w:p>
    <w:p w14:paraId="77F676B7" w14:textId="77777777" w:rsidR="00186276" w:rsidRDefault="00186276" w:rsidP="00186276">
      <w:pPr>
        <w:pStyle w:val="BodyText"/>
        <w:spacing w:line="276" w:lineRule="auto"/>
        <w:ind w:left="0"/>
        <w:rPr>
          <w:spacing w:val="-2"/>
        </w:rPr>
      </w:pPr>
    </w:p>
    <w:p w14:paraId="4A7D28C4" w14:textId="77777777" w:rsidR="00186276" w:rsidRDefault="00186276" w:rsidP="00186276">
      <w:pPr>
        <w:spacing w:line="232" w:lineRule="auto"/>
        <w:ind w:left="24" w:right="53" w:hanging="10"/>
        <w:jc w:val="both"/>
        <w:rPr>
          <w:i/>
          <w:sz w:val="24"/>
        </w:rPr>
      </w:pPr>
      <w:r>
        <w:rPr>
          <w:i/>
          <w:sz w:val="24"/>
        </w:rPr>
        <w:t>A template Policies &amp; Procedures document for PSPs is available on the Property Services Regulatory Authority (PSRA) website (</w:t>
      </w:r>
      <w:hyperlink r:id="rId8">
        <w:r>
          <w:rPr>
            <w:i/>
            <w:color w:val="0000FF"/>
            <w:sz w:val="24"/>
            <w:u w:val="single" w:color="0000FF"/>
          </w:rPr>
          <w:t>www.psr.ie</w:t>
        </w:r>
      </w:hyperlink>
      <w:r>
        <w:rPr>
          <w:i/>
          <w:sz w:val="24"/>
        </w:rPr>
        <w:t>). This document outlines the measures required by PSPs to fulfil the responsibilities outlined above. The PSRA recommend that every business carrying out property services adopt these policies and procedures with immediate effect.</w:t>
      </w:r>
    </w:p>
    <w:p w14:paraId="36CE5A18" w14:textId="77777777" w:rsidR="00264CAC" w:rsidRDefault="00264CAC">
      <w:pPr>
        <w:pStyle w:val="BodyText"/>
        <w:spacing w:before="41" w:line="276" w:lineRule="auto"/>
        <w:ind w:left="23"/>
      </w:pPr>
    </w:p>
    <w:p w14:paraId="51ADF28C" w14:textId="3AC7F360" w:rsidR="005B456E" w:rsidRDefault="00186276">
      <w:pPr>
        <w:pStyle w:val="BodyText"/>
        <w:spacing w:before="41" w:line="276" w:lineRule="auto"/>
        <w:ind w:left="23"/>
      </w:pPr>
      <w:r>
        <w:t>All</w:t>
      </w:r>
      <w:r>
        <w:rPr>
          <w:spacing w:val="-3"/>
        </w:rPr>
        <w:t xml:space="preserve"> </w:t>
      </w:r>
      <w:r>
        <w:t>guidance</w:t>
      </w:r>
      <w:r>
        <w:rPr>
          <w:spacing w:val="-2"/>
        </w:rPr>
        <w:t xml:space="preserve"> </w:t>
      </w:r>
      <w:r>
        <w:t>and</w:t>
      </w:r>
      <w:r>
        <w:rPr>
          <w:spacing w:val="-4"/>
        </w:rPr>
        <w:t xml:space="preserve"> </w:t>
      </w:r>
      <w:r>
        <w:t>template</w:t>
      </w:r>
      <w:r>
        <w:rPr>
          <w:spacing w:val="-5"/>
        </w:rPr>
        <w:t xml:space="preserve"> </w:t>
      </w:r>
      <w:r>
        <w:t>documents</w:t>
      </w:r>
      <w:r>
        <w:rPr>
          <w:spacing w:val="-3"/>
        </w:rPr>
        <w:t xml:space="preserve"> </w:t>
      </w:r>
      <w:r>
        <w:t>referred</w:t>
      </w:r>
      <w:r>
        <w:rPr>
          <w:spacing w:val="-3"/>
        </w:rPr>
        <w:t xml:space="preserve"> </w:t>
      </w:r>
      <w:r>
        <w:t>to</w:t>
      </w:r>
      <w:r>
        <w:rPr>
          <w:spacing w:val="-2"/>
        </w:rPr>
        <w:t xml:space="preserve"> </w:t>
      </w:r>
      <w:r>
        <w:t>are</w:t>
      </w:r>
      <w:r>
        <w:rPr>
          <w:spacing w:val="-7"/>
        </w:rPr>
        <w:t xml:space="preserve"> </w:t>
      </w:r>
      <w:r>
        <w:t>available</w:t>
      </w:r>
      <w:r>
        <w:rPr>
          <w:spacing w:val="-5"/>
        </w:rPr>
        <w:t xml:space="preserve"> </w:t>
      </w:r>
      <w:r>
        <w:t>on</w:t>
      </w:r>
      <w:r>
        <w:rPr>
          <w:spacing w:val="-4"/>
        </w:rPr>
        <w:t xml:space="preserve"> </w:t>
      </w:r>
      <w:r>
        <w:t>the</w:t>
      </w:r>
      <w:r>
        <w:rPr>
          <w:spacing w:val="-3"/>
        </w:rPr>
        <w:t xml:space="preserve"> </w:t>
      </w:r>
      <w:r>
        <w:t>Property</w:t>
      </w:r>
      <w:r>
        <w:rPr>
          <w:spacing w:val="-2"/>
        </w:rPr>
        <w:t xml:space="preserve"> </w:t>
      </w:r>
      <w:r>
        <w:t>Services</w:t>
      </w:r>
      <w:r>
        <w:rPr>
          <w:spacing w:val="-2"/>
        </w:rPr>
        <w:t xml:space="preserve"> </w:t>
      </w:r>
      <w:r>
        <w:t>Regulatory Authority website</w:t>
      </w:r>
      <w:r w:rsidR="00264CAC" w:rsidDel="00264CAC">
        <w:t xml:space="preserve"> </w:t>
      </w:r>
      <w:r w:rsidR="00264CAC">
        <w:t xml:space="preserve"> www.psr.ie</w:t>
      </w:r>
    </w:p>
    <w:sectPr w:rsidR="005B456E">
      <w:pgSz w:w="11910" w:h="16840"/>
      <w:pgMar w:top="138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031D"/>
    <w:multiLevelType w:val="hybridMultilevel"/>
    <w:tmpl w:val="3CB8B94A"/>
    <w:lvl w:ilvl="0" w:tplc="C966DEF8">
      <w:start w:val="3"/>
      <w:numFmt w:val="decimal"/>
      <w:lvlText w:val="%1."/>
      <w:lvlJc w:val="left"/>
      <w:pPr>
        <w:ind w:left="743" w:hanging="360"/>
      </w:pPr>
      <w:rPr>
        <w:rFonts w:ascii="Calibri" w:eastAsia="Calibri" w:hAnsi="Calibri" w:cs="Calibri" w:hint="default"/>
        <w:b/>
        <w:bCs/>
        <w:i w:val="0"/>
        <w:iCs w:val="0"/>
        <w:spacing w:val="0"/>
        <w:w w:val="10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B12175"/>
    <w:multiLevelType w:val="hybridMultilevel"/>
    <w:tmpl w:val="8CA887A6"/>
    <w:lvl w:ilvl="0" w:tplc="67280250">
      <w:start w:val="1"/>
      <w:numFmt w:val="decimal"/>
      <w:lvlText w:val="%1."/>
      <w:lvlJc w:val="left"/>
      <w:pPr>
        <w:ind w:left="383" w:hanging="360"/>
      </w:pPr>
      <w:rPr>
        <w:b/>
        <w:bCs/>
      </w:rPr>
    </w:lvl>
    <w:lvl w:ilvl="1" w:tplc="18090019" w:tentative="1">
      <w:start w:val="1"/>
      <w:numFmt w:val="lowerLetter"/>
      <w:lvlText w:val="%2."/>
      <w:lvlJc w:val="left"/>
      <w:pPr>
        <w:ind w:left="1103" w:hanging="360"/>
      </w:pPr>
    </w:lvl>
    <w:lvl w:ilvl="2" w:tplc="1809001B" w:tentative="1">
      <w:start w:val="1"/>
      <w:numFmt w:val="lowerRoman"/>
      <w:lvlText w:val="%3."/>
      <w:lvlJc w:val="right"/>
      <w:pPr>
        <w:ind w:left="1823" w:hanging="180"/>
      </w:pPr>
    </w:lvl>
    <w:lvl w:ilvl="3" w:tplc="1809000F" w:tentative="1">
      <w:start w:val="1"/>
      <w:numFmt w:val="decimal"/>
      <w:lvlText w:val="%4."/>
      <w:lvlJc w:val="left"/>
      <w:pPr>
        <w:ind w:left="2543" w:hanging="360"/>
      </w:pPr>
    </w:lvl>
    <w:lvl w:ilvl="4" w:tplc="18090019" w:tentative="1">
      <w:start w:val="1"/>
      <w:numFmt w:val="lowerLetter"/>
      <w:lvlText w:val="%5."/>
      <w:lvlJc w:val="left"/>
      <w:pPr>
        <w:ind w:left="3263" w:hanging="360"/>
      </w:pPr>
    </w:lvl>
    <w:lvl w:ilvl="5" w:tplc="1809001B" w:tentative="1">
      <w:start w:val="1"/>
      <w:numFmt w:val="lowerRoman"/>
      <w:lvlText w:val="%6."/>
      <w:lvlJc w:val="right"/>
      <w:pPr>
        <w:ind w:left="3983" w:hanging="180"/>
      </w:pPr>
    </w:lvl>
    <w:lvl w:ilvl="6" w:tplc="1809000F" w:tentative="1">
      <w:start w:val="1"/>
      <w:numFmt w:val="decimal"/>
      <w:lvlText w:val="%7."/>
      <w:lvlJc w:val="left"/>
      <w:pPr>
        <w:ind w:left="4703" w:hanging="360"/>
      </w:pPr>
    </w:lvl>
    <w:lvl w:ilvl="7" w:tplc="18090019" w:tentative="1">
      <w:start w:val="1"/>
      <w:numFmt w:val="lowerLetter"/>
      <w:lvlText w:val="%8."/>
      <w:lvlJc w:val="left"/>
      <w:pPr>
        <w:ind w:left="5423" w:hanging="360"/>
      </w:pPr>
    </w:lvl>
    <w:lvl w:ilvl="8" w:tplc="1809001B" w:tentative="1">
      <w:start w:val="1"/>
      <w:numFmt w:val="lowerRoman"/>
      <w:lvlText w:val="%9."/>
      <w:lvlJc w:val="right"/>
      <w:pPr>
        <w:ind w:left="6143" w:hanging="180"/>
      </w:pPr>
    </w:lvl>
  </w:abstractNum>
  <w:abstractNum w:abstractNumId="2" w15:restartNumberingAfterBreak="0">
    <w:nsid w:val="193B354D"/>
    <w:multiLevelType w:val="hybridMultilevel"/>
    <w:tmpl w:val="A888F08A"/>
    <w:lvl w:ilvl="0" w:tplc="891C93B4">
      <w:start w:val="1"/>
      <w:numFmt w:val="decimal"/>
      <w:lvlText w:val="%1."/>
      <w:lvlJc w:val="left"/>
      <w:pPr>
        <w:ind w:left="743" w:hanging="360"/>
      </w:pPr>
      <w:rPr>
        <w:rFonts w:ascii="Calibri" w:eastAsia="Calibri" w:hAnsi="Calibri" w:cs="Calibri" w:hint="default"/>
        <w:b/>
        <w:bCs/>
        <w:i w:val="0"/>
        <w:iCs w:val="0"/>
        <w:spacing w:val="0"/>
        <w:w w:val="100"/>
        <w:sz w:val="22"/>
        <w:szCs w:val="22"/>
        <w:lang w:val="en-US" w:eastAsia="en-US" w:bidi="ar-SA"/>
      </w:rPr>
    </w:lvl>
    <w:lvl w:ilvl="1" w:tplc="DCFC58E8">
      <w:numFmt w:val="bullet"/>
      <w:lvlText w:val="•"/>
      <w:lvlJc w:val="left"/>
      <w:pPr>
        <w:ind w:left="1573" w:hanging="360"/>
      </w:pPr>
      <w:rPr>
        <w:rFonts w:hint="default"/>
        <w:lang w:val="en-US" w:eastAsia="en-US" w:bidi="ar-SA"/>
      </w:rPr>
    </w:lvl>
    <w:lvl w:ilvl="2" w:tplc="3E4689DA">
      <w:numFmt w:val="bullet"/>
      <w:lvlText w:val="•"/>
      <w:lvlJc w:val="left"/>
      <w:pPr>
        <w:ind w:left="2406" w:hanging="360"/>
      </w:pPr>
      <w:rPr>
        <w:rFonts w:hint="default"/>
        <w:lang w:val="en-US" w:eastAsia="en-US" w:bidi="ar-SA"/>
      </w:rPr>
    </w:lvl>
    <w:lvl w:ilvl="3" w:tplc="DEDE8136">
      <w:numFmt w:val="bullet"/>
      <w:lvlText w:val="•"/>
      <w:lvlJc w:val="left"/>
      <w:pPr>
        <w:ind w:left="3239" w:hanging="360"/>
      </w:pPr>
      <w:rPr>
        <w:rFonts w:hint="default"/>
        <w:lang w:val="en-US" w:eastAsia="en-US" w:bidi="ar-SA"/>
      </w:rPr>
    </w:lvl>
    <w:lvl w:ilvl="4" w:tplc="51E88D2E">
      <w:numFmt w:val="bullet"/>
      <w:lvlText w:val="•"/>
      <w:lvlJc w:val="left"/>
      <w:pPr>
        <w:ind w:left="4072" w:hanging="360"/>
      </w:pPr>
      <w:rPr>
        <w:rFonts w:hint="default"/>
        <w:lang w:val="en-US" w:eastAsia="en-US" w:bidi="ar-SA"/>
      </w:rPr>
    </w:lvl>
    <w:lvl w:ilvl="5" w:tplc="8736B604">
      <w:numFmt w:val="bullet"/>
      <w:lvlText w:val="•"/>
      <w:lvlJc w:val="left"/>
      <w:pPr>
        <w:ind w:left="4906" w:hanging="360"/>
      </w:pPr>
      <w:rPr>
        <w:rFonts w:hint="default"/>
        <w:lang w:val="en-US" w:eastAsia="en-US" w:bidi="ar-SA"/>
      </w:rPr>
    </w:lvl>
    <w:lvl w:ilvl="6" w:tplc="5C16477C">
      <w:numFmt w:val="bullet"/>
      <w:lvlText w:val="•"/>
      <w:lvlJc w:val="left"/>
      <w:pPr>
        <w:ind w:left="5739" w:hanging="360"/>
      </w:pPr>
      <w:rPr>
        <w:rFonts w:hint="default"/>
        <w:lang w:val="en-US" w:eastAsia="en-US" w:bidi="ar-SA"/>
      </w:rPr>
    </w:lvl>
    <w:lvl w:ilvl="7" w:tplc="F3C0A61A">
      <w:numFmt w:val="bullet"/>
      <w:lvlText w:val="•"/>
      <w:lvlJc w:val="left"/>
      <w:pPr>
        <w:ind w:left="6572" w:hanging="360"/>
      </w:pPr>
      <w:rPr>
        <w:rFonts w:hint="default"/>
        <w:lang w:val="en-US" w:eastAsia="en-US" w:bidi="ar-SA"/>
      </w:rPr>
    </w:lvl>
    <w:lvl w:ilvl="8" w:tplc="B4BE7326">
      <w:numFmt w:val="bullet"/>
      <w:lvlText w:val="•"/>
      <w:lvlJc w:val="left"/>
      <w:pPr>
        <w:ind w:left="7405" w:hanging="360"/>
      </w:pPr>
      <w:rPr>
        <w:rFonts w:hint="default"/>
        <w:lang w:val="en-US" w:eastAsia="en-US" w:bidi="ar-SA"/>
      </w:rPr>
    </w:lvl>
  </w:abstractNum>
  <w:abstractNum w:abstractNumId="3" w15:restartNumberingAfterBreak="0">
    <w:nsid w:val="56B81DE4"/>
    <w:multiLevelType w:val="hybridMultilevel"/>
    <w:tmpl w:val="6CD468B6"/>
    <w:lvl w:ilvl="0" w:tplc="C966DEF8">
      <w:start w:val="3"/>
      <w:numFmt w:val="decimal"/>
      <w:lvlText w:val="%1."/>
      <w:lvlJc w:val="left"/>
      <w:pPr>
        <w:ind w:left="743" w:hanging="360"/>
      </w:pPr>
      <w:rPr>
        <w:rFonts w:ascii="Calibri" w:eastAsia="Calibri" w:hAnsi="Calibri" w:cs="Calibri" w:hint="default"/>
        <w:b/>
        <w:bCs/>
        <w:i w:val="0"/>
        <w:iCs w:val="0"/>
        <w:spacing w:val="0"/>
        <w:w w:val="10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819530A"/>
    <w:multiLevelType w:val="hybridMultilevel"/>
    <w:tmpl w:val="CB668528"/>
    <w:lvl w:ilvl="0" w:tplc="BFEA103E">
      <w:start w:val="1"/>
      <w:numFmt w:val="decimal"/>
      <w:lvlText w:val="%1."/>
      <w:lvlJc w:val="left"/>
      <w:pPr>
        <w:ind w:left="384" w:hanging="360"/>
        <w:jc w:val="left"/>
      </w:pPr>
      <w:rPr>
        <w:rFonts w:ascii="Calibri" w:eastAsia="Calibri" w:hAnsi="Calibri" w:cs="Calibri" w:hint="default"/>
        <w:b/>
        <w:bCs/>
        <w:i w:val="0"/>
        <w:iCs w:val="0"/>
        <w:spacing w:val="0"/>
        <w:w w:val="100"/>
        <w:sz w:val="24"/>
        <w:szCs w:val="24"/>
        <w:lang w:val="en-US" w:eastAsia="en-US" w:bidi="ar-SA"/>
      </w:rPr>
    </w:lvl>
    <w:lvl w:ilvl="1" w:tplc="6E90F08E">
      <w:numFmt w:val="bullet"/>
      <w:lvlText w:val="•"/>
      <w:lvlJc w:val="left"/>
      <w:pPr>
        <w:ind w:left="1391" w:hanging="360"/>
      </w:pPr>
      <w:rPr>
        <w:rFonts w:hint="default"/>
        <w:lang w:val="en-US" w:eastAsia="en-US" w:bidi="ar-SA"/>
      </w:rPr>
    </w:lvl>
    <w:lvl w:ilvl="2" w:tplc="0ECCEF18">
      <w:numFmt w:val="bullet"/>
      <w:lvlText w:val="•"/>
      <w:lvlJc w:val="left"/>
      <w:pPr>
        <w:ind w:left="2402" w:hanging="360"/>
      </w:pPr>
      <w:rPr>
        <w:rFonts w:hint="default"/>
        <w:lang w:val="en-US" w:eastAsia="en-US" w:bidi="ar-SA"/>
      </w:rPr>
    </w:lvl>
    <w:lvl w:ilvl="3" w:tplc="1D721DDA">
      <w:numFmt w:val="bullet"/>
      <w:lvlText w:val="•"/>
      <w:lvlJc w:val="left"/>
      <w:pPr>
        <w:ind w:left="3413" w:hanging="360"/>
      </w:pPr>
      <w:rPr>
        <w:rFonts w:hint="default"/>
        <w:lang w:val="en-US" w:eastAsia="en-US" w:bidi="ar-SA"/>
      </w:rPr>
    </w:lvl>
    <w:lvl w:ilvl="4" w:tplc="8BF4B406">
      <w:numFmt w:val="bullet"/>
      <w:lvlText w:val="•"/>
      <w:lvlJc w:val="left"/>
      <w:pPr>
        <w:ind w:left="4424" w:hanging="360"/>
      </w:pPr>
      <w:rPr>
        <w:rFonts w:hint="default"/>
        <w:lang w:val="en-US" w:eastAsia="en-US" w:bidi="ar-SA"/>
      </w:rPr>
    </w:lvl>
    <w:lvl w:ilvl="5" w:tplc="00540C7A">
      <w:numFmt w:val="bullet"/>
      <w:lvlText w:val="•"/>
      <w:lvlJc w:val="left"/>
      <w:pPr>
        <w:ind w:left="5435" w:hanging="360"/>
      </w:pPr>
      <w:rPr>
        <w:rFonts w:hint="default"/>
        <w:lang w:val="en-US" w:eastAsia="en-US" w:bidi="ar-SA"/>
      </w:rPr>
    </w:lvl>
    <w:lvl w:ilvl="6" w:tplc="2638982A">
      <w:numFmt w:val="bullet"/>
      <w:lvlText w:val="•"/>
      <w:lvlJc w:val="left"/>
      <w:pPr>
        <w:ind w:left="6446" w:hanging="360"/>
      </w:pPr>
      <w:rPr>
        <w:rFonts w:hint="default"/>
        <w:lang w:val="en-US" w:eastAsia="en-US" w:bidi="ar-SA"/>
      </w:rPr>
    </w:lvl>
    <w:lvl w:ilvl="7" w:tplc="E8744A7C">
      <w:numFmt w:val="bullet"/>
      <w:lvlText w:val="•"/>
      <w:lvlJc w:val="left"/>
      <w:pPr>
        <w:ind w:left="7457" w:hanging="360"/>
      </w:pPr>
      <w:rPr>
        <w:rFonts w:hint="default"/>
        <w:lang w:val="en-US" w:eastAsia="en-US" w:bidi="ar-SA"/>
      </w:rPr>
    </w:lvl>
    <w:lvl w:ilvl="8" w:tplc="F8C4F836">
      <w:numFmt w:val="bullet"/>
      <w:lvlText w:val="•"/>
      <w:lvlJc w:val="left"/>
      <w:pPr>
        <w:ind w:left="8468" w:hanging="360"/>
      </w:pPr>
      <w:rPr>
        <w:rFonts w:hint="default"/>
        <w:lang w:val="en-US" w:eastAsia="en-US" w:bidi="ar-SA"/>
      </w:rPr>
    </w:lvl>
  </w:abstractNum>
  <w:num w:numId="1" w16cid:durableId="1146972317">
    <w:abstractNumId w:val="2"/>
  </w:num>
  <w:num w:numId="2" w16cid:durableId="937912673">
    <w:abstractNumId w:val="0"/>
  </w:num>
  <w:num w:numId="3" w16cid:durableId="1496801755">
    <w:abstractNumId w:val="3"/>
  </w:num>
  <w:num w:numId="4" w16cid:durableId="1241595714">
    <w:abstractNumId w:val="4"/>
  </w:num>
  <w:num w:numId="5" w16cid:durableId="1448771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6E"/>
    <w:rsid w:val="00186276"/>
    <w:rsid w:val="00264CAC"/>
    <w:rsid w:val="002703B6"/>
    <w:rsid w:val="00357E6A"/>
    <w:rsid w:val="00371A20"/>
    <w:rsid w:val="0054123C"/>
    <w:rsid w:val="005B456E"/>
    <w:rsid w:val="007C0BC5"/>
    <w:rsid w:val="00B177CE"/>
    <w:rsid w:val="00FE52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F27B"/>
  <w15:docId w15:val="{42ECE59D-51B4-442D-B3D5-A2EE2F26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41" w:hanging="358"/>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743"/>
    </w:pPr>
  </w:style>
  <w:style w:type="paragraph" w:styleId="Title">
    <w:name w:val="Title"/>
    <w:basedOn w:val="Normal"/>
    <w:uiPriority w:val="10"/>
    <w:qFormat/>
    <w:pPr>
      <w:spacing w:before="23"/>
      <w:ind w:left="1314" w:hanging="1112"/>
    </w:pPr>
    <w:rPr>
      <w:b/>
      <w:bCs/>
      <w:sz w:val="28"/>
      <w:szCs w:val="28"/>
    </w:rPr>
  </w:style>
  <w:style w:type="paragraph" w:styleId="ListParagraph">
    <w:name w:val="List Paragraph"/>
    <w:basedOn w:val="Normal"/>
    <w:uiPriority w:val="1"/>
    <w:qFormat/>
    <w:pPr>
      <w:ind w:left="741" w:hanging="358"/>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186276"/>
    <w:pPr>
      <w:widowControl/>
      <w:autoSpaceDE/>
      <w:autoSpaceDN/>
    </w:pPr>
    <w:rPr>
      <w:rFonts w:ascii="Calibri" w:eastAsia="Calibri" w:hAnsi="Calibri" w:cs="Calibri"/>
    </w:rPr>
  </w:style>
  <w:style w:type="character" w:styleId="Hyperlink">
    <w:name w:val="Hyperlink"/>
    <w:basedOn w:val="DefaultParagraphFont"/>
    <w:uiPriority w:val="99"/>
    <w:unhideWhenUsed/>
    <w:rsid w:val="00264CAC"/>
    <w:rPr>
      <w:color w:val="0000FF" w:themeColor="hyperlink"/>
      <w:u w:val="single"/>
    </w:rPr>
  </w:style>
  <w:style w:type="character" w:styleId="UnresolvedMention">
    <w:name w:val="Unresolved Mention"/>
    <w:basedOn w:val="DefaultParagraphFont"/>
    <w:uiPriority w:val="99"/>
    <w:semiHidden/>
    <w:unhideWhenUsed/>
    <w:rsid w:val="00264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sr.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4E5A7AEF8DD2734BAB4C7EA65EE9DA74" ma:contentTypeVersion="109" ma:contentTypeDescription="" ma:contentTypeScope="" ma:versionID="de3e3689c27383bb67b643b032fa28fe">
  <xsd:schema xmlns:xsd="http://www.w3.org/2001/XMLSchema" xmlns:xs="http://www.w3.org/2001/XMLSchema" xmlns:p="http://schemas.microsoft.com/office/2006/metadata/properties" xmlns:ns2="01b6daef-ad79-402c-96e8-7e31a6dbdabf" targetNamespace="http://schemas.microsoft.com/office/2006/metadata/properties" ma:root="true" ma:fieldsID="edb36b95d4a6ededaaee44ff73717dab" ns2:_="">
    <xsd:import namespace="01b6daef-ad79-402c-96e8-7e31a6dbdab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6daef-ad79-402c-96e8-7e31a6dbdab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2b07c67-d86b-447d-b847-64a35a97fd9f}" ma:internalName="TaxCatchAll" ma:showField="CatchAllData"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b07c67-d86b-447d-b847-64a35a97fd9f}" ma:internalName="TaxCatchAllLabel" ma:readOnly="true" ma:showField="CatchAllDataLabel"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7|06fda4d6-a533-424d-bf15-2af4f8bf8725"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bbf8a210-b315-417f-a8d0-de59ae213c6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01b6daef-ad79-402c-96e8-7e31a6dbdab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TaxCatchAll xmlns="01b6daef-ad79-402c-96e8-7e31a6dbdabf">
      <Value>6</Value>
      <Value>5</Value>
      <Value>8</Value>
      <Value>1</Value>
      <Value>7</Value>
    </TaxCatchAll>
    <h1f8bb4843d6459a8b809123185593c7 xmlns="01b6daef-ad79-402c-96e8-7e31a6dbdabf">
      <Terms xmlns="http://schemas.microsoft.com/office/infopath/2007/PartnerControls">
        <TermInfo xmlns="http://schemas.microsoft.com/office/infopath/2007/PartnerControls">
          <TermName xmlns="http://schemas.microsoft.com/office/infopath/2007/PartnerControls">017</TermName>
          <TermId xmlns="http://schemas.microsoft.com/office/infopath/2007/PartnerControls">06fda4d6-a533-424d-bf15-2af4f8bf8725</TermId>
        </TermInfo>
      </Terms>
    </h1f8bb4843d6459a8b809123185593c7>
    <_vti_ItemDeclaredRecord xmlns="01b6daef-ad79-402c-96e8-7e31a6dbdabf" xsi:nil="true"/>
    <eDocs_FileStatus xmlns="01b6daef-ad79-402c-96e8-7e31a6dbdabf">Live</eDocs_FileStatus>
    <m02c691f3efa402dab5cbaa8c240a9e7 xmlns="01b6daef-ad79-402c-96e8-7e31a6dbdabf">
      <Terms xmlns="http://schemas.microsoft.com/office/infopath/2007/PartnerControls">
        <TermInfo xmlns="http://schemas.microsoft.com/office/infopath/2007/PartnerControls">
          <TermName xmlns="http://schemas.microsoft.com/office/infopath/2007/PartnerControls">AML</TermName>
          <TermId xmlns="http://schemas.microsoft.com/office/infopath/2007/PartnerControls">de06f5d3-72c7-4690-8d4a-b3df0daa2ab3</TermId>
        </TermInfo>
        <TermInfo xmlns="http://schemas.microsoft.com/office/infopath/2007/PartnerControls">
          <TermName xmlns="http://schemas.microsoft.com/office/infopath/2007/PartnerControls">#Administation</TermName>
          <TermId xmlns="http://schemas.microsoft.com/office/infopath/2007/PartnerControls">0a1afda5-240a-4e0a-955e-9e43d1e01469</TermId>
        </TermInfo>
      </Terms>
    </m02c691f3efa402dab5cbaa8c240a9e7>
    <fbaa881fc4ae443f9fdafbdd527793df xmlns="01b6daef-ad79-402c-96e8-7e31a6dbdabf">
      <Terms xmlns="http://schemas.microsoft.com/office/infopath/2007/PartnerControls"/>
    </fbaa881fc4ae443f9fdafbdd527793df>
    <eDocs_eFileName xmlns="01b6daef-ad79-402c-96e8-7e31a6dbdabf">PSRA017-002-2024</eDocs_eFileName>
    <nb1b8a72855341e18dd75ce464e281f2 xmlns="01b6daef-ad79-402c-96e8-7e31a6dbdabf">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246e9243-f445-4b69-97df-6b379cb0cc01</TermId>
        </TermInfo>
      </Terms>
    </nb1b8a72855341e18dd75ce464e281f2>
  </documentManagement>
</p:properties>
</file>

<file path=customXml/itemProps1.xml><?xml version="1.0" encoding="utf-8"?>
<ds:datastoreItem xmlns:ds="http://schemas.openxmlformats.org/officeDocument/2006/customXml" ds:itemID="{F51A0F38-BC94-4774-8B0F-2AF19BBE2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6daef-ad79-402c-96e8-7e31a6dbd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3847B3-E35E-4276-9365-D366D2EDAEB8}">
  <ds:schemaRefs>
    <ds:schemaRef ds:uri="http://schemas.microsoft.com/sharepoint/v3/contenttype/forms"/>
  </ds:schemaRefs>
</ds:datastoreItem>
</file>

<file path=customXml/itemProps3.xml><?xml version="1.0" encoding="utf-8"?>
<ds:datastoreItem xmlns:ds="http://schemas.openxmlformats.org/officeDocument/2006/customXml" ds:itemID="{41EFD535-B876-42C1-B0F3-5CD51D4896DD}">
  <ds:schemaRefs>
    <ds:schemaRef ds:uri="http://schemas.microsoft.com/office/2006/metadata/properties"/>
    <ds:schemaRef ds:uri="http://schemas.microsoft.com/office/infopath/2007/PartnerControls"/>
    <ds:schemaRef ds:uri="01b6daef-ad79-402c-96e8-7e31a6dbdabf"/>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599</Words>
  <Characters>3418</Characters>
  <Application>Microsoft Office Word</Application>
  <DocSecurity>0</DocSecurity>
  <Lines>28</Lines>
  <Paragraphs>8</Paragraphs>
  <ScaleCrop>false</ScaleCrop>
  <Company>Department of Justice</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 A. O'Reilly</dc:creator>
  <cp:lastModifiedBy>Jennifer X. Forde</cp:lastModifiedBy>
  <cp:revision>3</cp:revision>
  <dcterms:created xsi:type="dcterms:W3CDTF">2026-09-21T07:46:00Z</dcterms:created>
  <dcterms:modified xsi:type="dcterms:W3CDTF">2026-09-21T07:49:00Z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2021-04-01T00:00:00Z</vt:filetime>
  </property>
  <property fmtid="{D5CDD505-2E9C-101B-9397-08002B2CF9AE}" pid="3" name="Creator">
    <vt:lpwstr>Microsoft® Word 2016</vt:lpwstr>
  </property>
  <property fmtid="{D5CDD505-2E9C-101B-9397-08002B2CF9AE}" pid="4" name="LastSaved">
    <vt:filetime>2026-03-18T00:00:00Z</vt:filetime>
  </property>
  <property fmtid="{D5CDD505-2E9C-101B-9397-08002B2CF9AE}" pid="5" name="Producer">
    <vt:lpwstr>Microsoft® Word 2016</vt:lpwstr>
  </property>
  <property fmtid="{D5CDD505-2E9C-101B-9397-08002B2CF9AE}" pid="6" name="ContentTypeId">
    <vt:lpwstr>0x0101000BC94875665D404BB1351B53C41FD2C0004E5A7AEF8DD2734BAB4C7EA65EE9DA74</vt:lpwstr>
  </property>
  <property fmtid="{D5CDD505-2E9C-101B-9397-08002B2CF9AE}" pid="7" name="eDocs_Series">
    <vt:lpwstr>1;#017|06fda4d6-a533-424d-bf15-2af4f8bf8725</vt:lpwstr>
  </property>
  <property fmtid="{D5CDD505-2E9C-101B-9397-08002B2CF9AE}" pid="8" name="eDocs_SecurityClassification">
    <vt:lpwstr>5;#Unclassified|d6154209-901f-4005-abe0-dde865f488ac</vt:lpwstr>
  </property>
  <property fmtid="{D5CDD505-2E9C-101B-9397-08002B2CF9AE}" pid="9" name="eDocs_Year">
    <vt:lpwstr>6;#2024|246e9243-f445-4b69-97df-6b379cb0cc01</vt:lpwstr>
  </property>
  <property fmtid="{D5CDD505-2E9C-101B-9397-08002B2CF9AE}" pid="10" name="ge25f6a3ef6f42d4865685f2a74bf8c7">
    <vt:lpwstr/>
  </property>
  <property fmtid="{D5CDD505-2E9C-101B-9397-08002B2CF9AE}" pid="11" name="eDocs_FileTopics">
    <vt:lpwstr>7;#AML|de06f5d3-72c7-4690-8d4a-b3df0daa2ab3;#8;##Administation|0a1afda5-240a-4e0a-955e-9e43d1e01469</vt:lpwstr>
  </property>
  <property fmtid="{D5CDD505-2E9C-101B-9397-08002B2CF9AE}" pid="12" name="eDocs_DocumentTopics">
    <vt:lpwstr/>
  </property>
  <property fmtid="{D5CDD505-2E9C-101B-9397-08002B2CF9AE}" pid="13" name="eDocs_RetentionPeriodTerm">
    <vt:lpwstr/>
  </property>
</Properties>
</file>